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before="240" w:lineRule="auto"/>
        <w:rPr>
          <w:b w:val="1"/>
          <w:smallCaps w:val="1"/>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widowControl w:val="1"/>
        <w:spacing w:after="240" w:before="240" w:lineRule="auto"/>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4">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widowControl w:val="1"/>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6">
      <w:pPr>
        <w:widowControl w:val="1"/>
        <w:spacing w:after="240" w:before="240" w:lineRule="auto"/>
        <w:jc w:val="center"/>
        <w:rPr>
          <w:b w:val="1"/>
          <w:smallCaps w:val="1"/>
          <w:highlight w:val="white"/>
        </w:rPr>
      </w:pPr>
      <w:r w:rsidDel="00000000" w:rsidR="00000000" w:rsidRPr="00000000">
        <w:rPr>
          <w:b w:val="1"/>
          <w:smallCaps w:val="1"/>
          <w:rtl w:val="0"/>
        </w:rPr>
        <w:t xml:space="preserve">REPRESENTED BY THE GOVERNMENT PROPERTY AGENCY</w:t>
      </w:r>
      <w:r w:rsidDel="00000000" w:rsidR="00000000" w:rsidRPr="00000000">
        <w:rPr>
          <w:rtl w:val="0"/>
        </w:rPr>
      </w:r>
    </w:p>
    <w:p w:rsidR="00000000" w:rsidDel="00000000" w:rsidP="00000000" w:rsidRDefault="00000000" w:rsidRPr="00000000" w14:paraId="00000007">
      <w:pPr>
        <w:widowControl w:val="1"/>
        <w:spacing w:after="240" w:before="240" w:lineRule="auto"/>
        <w:jc w:val="center"/>
        <w:rPr>
          <w:b w:val="1"/>
          <w:smallCaps w:val="1"/>
        </w:rPr>
      </w:pPr>
      <w:bookmarkStart w:colFirst="0" w:colLast="0" w:name="_heading=h.2et92p0" w:id="2"/>
      <w:bookmarkEnd w:id="2"/>
      <w:r w:rsidDel="00000000" w:rsidR="00000000" w:rsidRPr="00000000">
        <w:rPr>
          <w:b w:val="1"/>
          <w:smallCaps w:val="1"/>
          <w:rtl w:val="0"/>
        </w:rPr>
        <w:t xml:space="preserve">AND</w:t>
      </w:r>
    </w:p>
    <w:p w:rsidR="00000000" w:rsidDel="00000000" w:rsidP="00000000" w:rsidRDefault="00000000" w:rsidRPr="00000000" w14:paraId="00000008">
      <w:pPr>
        <w:widowControl w:val="1"/>
        <w:spacing w:after="240" w:before="240" w:lineRule="auto"/>
        <w:jc w:val="center"/>
        <w:rPr>
          <w:b w:val="1"/>
          <w:smallCaps w:val="1"/>
        </w:rPr>
      </w:pPr>
      <w:r w:rsidDel="00000000" w:rsidR="00000000" w:rsidRPr="00000000">
        <w:rPr>
          <w:b w:val="1"/>
          <w:smallCaps w:val="1"/>
          <w:rtl w:val="0"/>
        </w:rPr>
        <w:t xml:space="preserve">ISS MEDICLEAN LIMITED</w:t>
      </w:r>
    </w:p>
    <w:p w:rsidR="00000000" w:rsidDel="00000000" w:rsidP="00000000" w:rsidRDefault="00000000" w:rsidRPr="00000000" w14:paraId="00000009">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A">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REF: RM3830</w:t>
      </w:r>
      <w:r w:rsidDel="00000000" w:rsidR="00000000" w:rsidRPr="00000000">
        <w:rPr>
          <w:rtl w:val="0"/>
        </w:rPr>
      </w:r>
    </w:p>
    <w:p w:rsidR="00000000" w:rsidDel="00000000" w:rsidP="00000000" w:rsidRDefault="00000000" w:rsidRPr="00000000" w14:paraId="0000000B">
      <w:pPr>
        <w:widowControl w:val="1"/>
        <w:tabs>
          <w:tab w:val="center" w:leader="none" w:pos="4513"/>
          <w:tab w:val="left" w:leader="none" w:pos="5724"/>
        </w:tabs>
        <w:spacing w:after="240" w:before="240" w:lineRule="auto"/>
        <w:rPr>
          <w:b w:val="1"/>
          <w:smallCaps w:val="1"/>
        </w:rPr>
      </w:pPr>
      <w:bookmarkStart w:colFirst="0" w:colLast="0" w:name="_heading=h.tyjcwt" w:id="3"/>
      <w:bookmarkEnd w:id="3"/>
      <w:r w:rsidDel="00000000" w:rsidR="00000000" w:rsidRPr="00000000">
        <w:rPr>
          <w:rtl w:val="0"/>
        </w:rPr>
      </w:r>
    </w:p>
    <w:p w:rsidR="00000000" w:rsidDel="00000000" w:rsidP="00000000" w:rsidRDefault="00000000" w:rsidRPr="00000000" w14:paraId="0000000C">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D">
      <w:pPr>
        <w:widowControl w:val="1"/>
        <w:tabs>
          <w:tab w:val="center" w:leader="none" w:pos="4513"/>
          <w:tab w:val="left" w:leader="none" w:pos="5724"/>
        </w:tabs>
        <w:spacing w:after="240" w:before="240" w:lineRule="auto"/>
        <w:rPr>
          <w:b w:val="1"/>
          <w:smallCaps w:val="1"/>
        </w:rPr>
      </w:pPr>
      <w:bookmarkStart w:colFirst="0" w:colLast="0" w:name="_heading=h.3dy6vkm" w:id="4"/>
      <w:bookmarkEnd w:id="4"/>
      <w:r w:rsidDel="00000000" w:rsidR="00000000" w:rsidRPr="00000000">
        <w:rPr>
          <w:b w:val="1"/>
          <w:smallCaps w:val="1"/>
          <w:rtl w:val="0"/>
        </w:rPr>
        <w:tab/>
      </w:r>
    </w:p>
    <w:p w:rsidR="00000000" w:rsidDel="00000000" w:rsidP="00000000" w:rsidRDefault="00000000" w:rsidRPr="00000000" w14:paraId="0000000E">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F">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0">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2">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3">
      <w:pPr>
        <w:widowControl w:val="1"/>
        <w:rPr>
          <w:rFonts w:ascii="Arial" w:cs="Arial" w:eastAsia="Arial" w:hAnsi="Arial"/>
          <w:b w:val="1"/>
          <w:smallCaps w:val="1"/>
          <w:sz w:val="20"/>
          <w:szCs w:val="20"/>
        </w:rPr>
      </w:pPr>
      <w:bookmarkStart w:colFirst="0" w:colLast="0" w:name="_heading=h.1t3h5sf" w:id="5"/>
      <w:bookmarkEnd w:id="5"/>
      <w:r w:rsidDel="00000000" w:rsidR="00000000" w:rsidRPr="00000000">
        <w:br w:type="page"/>
      </w:r>
      <w:r w:rsidDel="00000000" w:rsidR="00000000" w:rsidRPr="00000000">
        <w:rPr>
          <w:rtl w:val="0"/>
        </w:rPr>
      </w:r>
    </w:p>
    <w:p w:rsidR="00000000" w:rsidDel="00000000" w:rsidP="00000000" w:rsidRDefault="00000000" w:rsidRPr="00000000" w14:paraId="00000014">
      <w:pPr>
        <w:widowControl w:val="1"/>
        <w:tabs>
          <w:tab w:val="center" w:leader="none" w:pos="4513"/>
          <w:tab w:val="right" w:leader="none" w:pos="9016"/>
        </w:tabs>
        <w:spacing w:after="0" w:line="240" w:lineRule="auto"/>
        <w:jc w:val="center"/>
        <w:rPr>
          <w:b w:val="1"/>
          <w:smallCaps w:val="1"/>
        </w:rPr>
      </w:pPr>
      <w:bookmarkStart w:colFirst="0" w:colLast="0" w:name="_heading=h.4d34og8" w:id="6"/>
      <w:bookmarkEnd w:id="6"/>
      <w:r w:rsidDel="00000000" w:rsidR="00000000" w:rsidRPr="00000000">
        <w:rPr>
          <w:b w:val="1"/>
          <w:smallCaps w:val="1"/>
          <w:rtl w:val="0"/>
        </w:rPr>
        <w:t xml:space="preserve">JOINT SCHEDULE 11</w:t>
      </w:r>
    </w:p>
    <w:p w:rsidR="00000000" w:rsidDel="00000000" w:rsidP="00000000" w:rsidRDefault="00000000" w:rsidRPr="00000000" w14:paraId="00000015">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6">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bookmarkStart w:colFirst="0" w:colLast="0" w:name="_heading=h.2s8eyo1" w:id="7"/>
      <w:bookmarkEnd w:id="7"/>
      <w:r w:rsidDel="00000000" w:rsidR="00000000" w:rsidRPr="00000000">
        <w:rPr>
          <w:b w:val="1"/>
          <w:smallCaps w:val="1"/>
          <w:rtl w:val="0"/>
        </w:rPr>
        <w:t xml:space="preserve">PROCESSING DATA</w:t>
      </w:r>
      <w:r w:rsidDel="00000000" w:rsidR="00000000" w:rsidRPr="00000000">
        <w:rPr>
          <w:rtl w:val="0"/>
        </w:rPr>
      </w:r>
    </w:p>
    <w:p w:rsidR="00000000" w:rsidDel="00000000" w:rsidP="00000000" w:rsidRDefault="00000000" w:rsidRPr="00000000" w14:paraId="00000017">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 Only the Relevant Authority can decide what processing of Personal Data a Supplier can do under a Contract and must specify it for each Contract using the template in Annex 1 (Authorised Processing) to this Schedule.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3. The Supplier must give all reasonable assistance to the Relevant Authority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 the preparation of any Data Protection Impact Assessment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before starting any processing, including:</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lnxbz9" w:id="11"/>
      <w:bookmarkEnd w:id="11"/>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systematic description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expected processing and its purpose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44sinio" w:id="12"/>
      <w:bookmarkEnd w:id="12"/>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necessity and proportionality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processing operations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3j2qqm3" w:id="13"/>
      <w:bookmarkEnd w:id="13"/>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risks to the rights and freedoms of Data Subjects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2xcytpi" w:id="14"/>
      <w:bookmarkEnd w:id="14"/>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intended measures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to address the risks, including safeguards, security measures and mechanisms to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protect Personal Data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whwml4" w:id="15"/>
      <w:bookmarkEnd w:id="15"/>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4. The Supplier must notify the Relevant Authority immediately if it thinks the Relevant Authority's instructions breach the Data Protection Legislation.</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bn6wsx" w:id="16"/>
      <w:bookmarkEnd w:id="16"/>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5. The Supplier must put in place appropriate Protective Measures to protect against a Data Loss Event which must be approved by the Relevant Authority.</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qsh70q" w:id="17"/>
      <w:bookmarkEnd w:id="17"/>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6. If lawful to notify the Relevant Authority, the Supplier must notify it if the Supplier is required to process Personal Data by Law promptly and before processing it.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7. The Supplier must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comply with the provision of Call-Off Schedule 11: Processing Data and Call-Off Schedule 26: Special terms – Term 23 and mus</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take all reasonable steps to ensure the reliability and integrity of any Supplier Staff who have access to the Personal Data and ensure that they:</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aware of and comply with the Supplier’s duties under this Schedule</w:t>
      </w:r>
    </w:p>
    <w:p w:rsidR="00000000" w:rsidDel="00000000" w:rsidP="00000000" w:rsidRDefault="00000000" w:rsidRPr="00000000" w14:paraId="000000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subject to appropriate confidentiality undertakings with the Supplier or any Sub processor</w:t>
      </w:r>
    </w:p>
    <w:p w:rsidR="00000000" w:rsidDel="00000000" w:rsidP="00000000" w:rsidRDefault="00000000" w:rsidRPr="00000000" w14:paraId="000000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informed of the confidential nature of the Personal Data and do not provide any of the Personal Data to any third Party unless directed in writing to do so by the Relevant Authority or as otherwise allowed by a Contract</w:t>
      </w:r>
    </w:p>
    <w:p w:rsidR="00000000" w:rsidDel="00000000" w:rsidP="00000000" w:rsidRDefault="00000000" w:rsidRPr="00000000" w14:paraId="000000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have undergone adequate training in the use, care, protection and handling of Personal Data</w:t>
      </w:r>
    </w:p>
    <w:p w:rsidR="00000000" w:rsidDel="00000000" w:rsidP="00000000" w:rsidRDefault="00000000" w:rsidRPr="00000000" w14:paraId="0000002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widowControl w:val="1"/>
        <w:spacing w:after="0" w:before="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8. The Supplier must not transfer Personal Data outside of the EU unless all of the following are true:</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it has obtained prior written consent of the Relevant Authority</w:t>
      </w:r>
    </w:p>
    <w:p w:rsidR="00000000" w:rsidDel="00000000" w:rsidP="00000000" w:rsidRDefault="00000000" w:rsidRPr="00000000" w14:paraId="0000002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Relevant Authority has decided that there are Appropriate Safeguards</w:t>
      </w:r>
    </w:p>
    <w:p w:rsidR="00000000" w:rsidDel="00000000" w:rsidP="00000000" w:rsidRDefault="00000000" w:rsidRPr="00000000" w14:paraId="0000002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Data Subject has enforceable rights and effective legal remedies when transferred</w:t>
      </w:r>
    </w:p>
    <w:p w:rsidR="00000000" w:rsidDel="00000000" w:rsidP="00000000" w:rsidRDefault="00000000" w:rsidRPr="00000000" w14:paraId="0000002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meets its obligations under the Data Protection Legislation by providing an adequate level of protection to any Personal Data that is transferred</w:t>
      </w:r>
    </w:p>
    <w:p w:rsidR="00000000" w:rsidDel="00000000" w:rsidP="00000000" w:rsidRDefault="00000000" w:rsidRPr="00000000" w14:paraId="0000003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where the Supplier is not bound by Data Protection Legislation it must use its best endeavours to help the Relevant Authority meet its own obligations under Data Protection Legislation</w:t>
      </w:r>
    </w:p>
    <w:p w:rsidR="00000000" w:rsidDel="00000000" w:rsidP="00000000" w:rsidRDefault="00000000" w:rsidRPr="00000000" w14:paraId="000000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complies with the Relevant Authority’s reasonable prior instructions about the processing of the Personal Data.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5"/>
          <w:tab w:val="left" w:leader="none" w:pos="5292"/>
        </w:tabs>
        <w:spacing w:after="20" w:before="20" w:line="240" w:lineRule="auto"/>
        <w:ind w:left="157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9. </w:t>
        <w:tab/>
        <w:t xml:space="preserve">The Supplier must notify the Relevant Authority immediately if it: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3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0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from any third Party for disclosure of Personal Data where compliance with the request is required or claims to be required by Law</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becomes aware of a Data Loss Event</w:t>
      </w:r>
    </w:p>
    <w:p w:rsidR="00000000" w:rsidDel="00000000" w:rsidP="00000000" w:rsidRDefault="00000000" w:rsidRPr="00000000" w14:paraId="0000003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10. Any requirement to notify under Paragraph 9 includes the provision of further information to the Relevant Authority in stages as details become available.</w:t>
      </w:r>
    </w:p>
    <w:p w:rsidR="00000000" w:rsidDel="00000000" w:rsidP="00000000" w:rsidRDefault="00000000" w:rsidRPr="00000000" w14:paraId="0000003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11. 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full details and copies of the complaint, communication or request</w:t>
      </w:r>
    </w:p>
    <w:p w:rsidR="00000000" w:rsidDel="00000000" w:rsidP="00000000" w:rsidRDefault="00000000" w:rsidRPr="00000000" w14:paraId="0000004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04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any Personal Data it holds in relation to a Data Subject on request </w:t>
      </w:r>
    </w:p>
    <w:p w:rsidR="00000000" w:rsidDel="00000000" w:rsidP="00000000" w:rsidRDefault="00000000" w:rsidRPr="00000000" w14:paraId="0000004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following any Data Loss Event</w:t>
      </w:r>
    </w:p>
    <w:p w:rsidR="00000000" w:rsidDel="00000000" w:rsidP="00000000" w:rsidRDefault="00000000" w:rsidRPr="00000000" w14:paraId="000000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relating to a consultation with, or request from, the Information Commissioner’s Office </w:t>
      </w:r>
    </w:p>
    <w:p w:rsidR="00000000" w:rsidDel="00000000" w:rsidP="00000000" w:rsidRDefault="00000000" w:rsidRPr="00000000" w14:paraId="0000004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12. The Supplier must maintain full, accurate records and information to show it complies with this Schedule. This requirement does not apply where the Supplier employs fewer than 250 staff, unless either the Relevant Authority determines that the processing:</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not occasional</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includes special categories of data as referred to in Article 9(1) of the GDPR or Personal Data relating to criminal convictions and offences referred to in Article 10 of the GDPR</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likely to result in a risk to the rights and freedoms of Data Subjects</w:t>
      </w:r>
    </w:p>
    <w:p w:rsidR="00000000" w:rsidDel="00000000" w:rsidP="00000000" w:rsidRDefault="00000000" w:rsidRPr="00000000" w14:paraId="0000004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13. The Supplier must appoint a Data Protection Officer responsible for observing its obligations in this Schedule and give CCS and each Buyer their contact details.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as4poj" w:id="18"/>
      <w:bookmarkEnd w:id="1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14. Before allowing any Sub processor to process any Personal Data, the Supplier must:</w:t>
      </w:r>
    </w:p>
    <w:p w:rsidR="00000000" w:rsidDel="00000000" w:rsidP="00000000" w:rsidRDefault="00000000" w:rsidRPr="00000000" w14:paraId="0000004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notify the Relevant Authority in writing of the intended Sub processor and processing</w:t>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obtain the written consent of the Relevant Authority</w:t>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enter into a written contract with the Sub processor so that this Schedule applies to the Sub processor</w:t>
      </w:r>
    </w:p>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provide the Relevant Authority with any information about the Sub processor that the Relevant Authority reasonably requires</w:t>
      </w:r>
    </w:p>
    <w:p w:rsidR="00000000" w:rsidDel="00000000" w:rsidP="00000000" w:rsidRDefault="00000000" w:rsidRPr="00000000" w14:paraId="0000005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15. The Supplier remains fully liable for all acts or omissions of any Sub processor.</w:t>
      </w:r>
    </w:p>
    <w:p w:rsidR="00000000" w:rsidDel="00000000" w:rsidP="00000000" w:rsidRDefault="00000000" w:rsidRPr="00000000" w14:paraId="0000005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16. At any time the Relevant Authority can, with 30 Working Days notice to the Supplier, change this Schedule to: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replace it with any applicable standard clauses (between the controller and processor</w:t>
      </w:r>
      <w:bookmarkStart w:colFirst="0" w:colLast="0" w:name="bookmark=id.1pxezwc" w:id="19"/>
      <w:bookmarkEnd w:id="1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or similar terms forming part of an applicable certification scheme under GDPR Article 42</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ensure it complies with guidance issued by the Information Commissioner’s Office</w:t>
      </w:r>
    </w:p>
    <w:p w:rsidR="00000000" w:rsidDel="00000000" w:rsidP="00000000" w:rsidRDefault="00000000" w:rsidRPr="00000000" w14:paraId="0000005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17.  The Parties agree to take account of any non-mandatory guidance issued by the Information Commissioner’s Office.</w:t>
      </w:r>
    </w:p>
    <w:p w:rsidR="00000000" w:rsidDel="00000000" w:rsidP="00000000" w:rsidRDefault="00000000" w:rsidRPr="00000000" w14:paraId="0000005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D">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jc w:val="both"/>
        <w:rPr>
          <w:rFonts w:ascii="Arial" w:cs="Arial" w:eastAsia="Arial" w:hAnsi="Arial"/>
          <w:b w:val="1"/>
          <w:smallCap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F">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 xml:space="preserve">ANNEX 1 </w:t>
      </w:r>
    </w:p>
    <w:p w:rsidR="00000000" w:rsidDel="00000000" w:rsidP="00000000" w:rsidRDefault="00000000" w:rsidRPr="00000000" w14:paraId="00000060">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ab/>
        <w:tab/>
        <w:tab/>
        <w:tab/>
        <w:t xml:space="preserve">      AUTHORISED PROCESSING</w:t>
      </w:r>
      <w:bookmarkStart w:colFirst="0" w:colLast="0" w:name="bookmark=id.49x2ik5" w:id="20"/>
      <w:bookmarkEnd w:id="20"/>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1">
            <w:pPr>
              <w:rPr/>
            </w:pPr>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2">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rPr>
                <w:i w:val="1"/>
              </w:rPr>
            </w:pPr>
            <w:r w:rsidDel="00000000" w:rsidR="00000000" w:rsidRPr="00000000">
              <w:rPr>
                <w:i w:val="1"/>
                <w:rtl w:val="0"/>
              </w:rPr>
              <w:t xml:space="preserve">Name of the system as it will be known and the service(s) delivered</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widowControl w:val="1"/>
              <w:numPr>
                <w:ilvl w:val="0"/>
                <w:numId w:val="2"/>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67">
            <w:pPr>
              <w:widowControl w:val="1"/>
              <w:numPr>
                <w:ilvl w:val="0"/>
                <w:numId w:val="2"/>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rPr/>
            </w:pPr>
            <w:r w:rsidDel="00000000" w:rsidR="00000000" w:rsidRPr="00000000">
              <w:rPr>
                <w:i w:val="1"/>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6C">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6D">
            <w:pPr>
              <w:rPr/>
            </w:pPr>
            <w:r w:rsidDel="00000000" w:rsidR="00000000" w:rsidRPr="00000000">
              <w:rPr>
                <w:i w:val="1"/>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rPr/>
            </w:pPr>
            <w:r w:rsidDel="00000000" w:rsidR="00000000" w:rsidRPr="00000000">
              <w:rPr>
                <w:i w:val="1"/>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i w:val="1"/>
              </w:rPr>
            </w:pPr>
            <w:r w:rsidDel="00000000" w:rsidR="00000000" w:rsidRPr="00000000">
              <w:rPr>
                <w:i w:val="1"/>
                <w:rtl w:val="0"/>
              </w:rPr>
              <w:t xml:space="preserve">Is any part of the processing performed / accessed from outside if the UK / EEA? (Including by Sub Processor(s)). If so, how is it protected?</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pPr>
            <w:r w:rsidDel="00000000" w:rsidR="00000000" w:rsidRPr="00000000">
              <w:rPr>
                <w:i w:val="1"/>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rPr>
                <w:i w:val="1"/>
              </w:rPr>
            </w:pPr>
            <w:r w:rsidDel="00000000" w:rsidR="00000000" w:rsidRPr="00000000">
              <w:rPr>
                <w:rtl w:val="0"/>
              </w:rPr>
            </w:r>
          </w:p>
        </w:tc>
      </w:tr>
    </w:tbl>
    <w:p w:rsidR="00000000" w:rsidDel="00000000" w:rsidP="00000000" w:rsidRDefault="00000000" w:rsidRPr="00000000" w14:paraId="00000078">
      <w:pPr>
        <w:widowControl w:val="1"/>
        <w:spacing w:after="240" w:before="480" w:line="240" w:lineRule="auto"/>
        <w:jc w:val="both"/>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Ref: RM3830</w:t>
      <w:tab/>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Model Version v3.0 Project Version v1.0</w:t>
    </w: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widowControl w:val="1"/>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1" distB="0" distT="0" distL="114300" distR="114300" hidden="0" layoutInCell="1" locked="0" relativeHeight="0" simplePos="0">
          <wp:simplePos x="0" y="0"/>
          <wp:positionH relativeFrom="column">
            <wp:posOffset>5534025</wp:posOffset>
          </wp:positionH>
          <wp:positionV relativeFrom="paragraph">
            <wp:posOffset>-314324</wp:posOffset>
          </wp:positionV>
          <wp:extent cx="825500" cy="692150"/>
          <wp:effectExtent b="0" l="0" r="0" t="0"/>
          <wp:wrapNone/>
          <wp:docPr descr="https://lh6.googleusercontent.com/eTjmBXx3xlUd8dXr189uAhL5wKMvtoARRd5PBHE4MvZbqArG__xeKNCp-_ICa_Qu_qG3FdHGHDf7h_MKkGbmHxXuZ50B3Fu_gZnxRpdnepmisW01VDhM2LPBlhdewL0po5oNN_w4" id="5"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07A">
    <w:pPr>
      <w:widowControl w:val="1"/>
      <w:spacing w:after="0" w:lineRule="auto"/>
      <w:rPr>
        <w:b w:val="1"/>
      </w:rPr>
    </w:pPr>
    <w:r w:rsidDel="00000000" w:rsidR="00000000" w:rsidRPr="00000000">
      <w:rPr>
        <w:b w:val="1"/>
        <w:rtl w:val="0"/>
      </w:rPr>
      <w:t xml:space="preserve">Joint Schedule 11 (Processing Data)</w:t>
    </w:r>
  </w:p>
  <w:p w:rsidR="00000000" w:rsidDel="00000000" w:rsidP="00000000" w:rsidRDefault="00000000" w:rsidRPr="00000000" w14:paraId="0000007B">
    <w:pPr>
      <w:widowControl w:val="1"/>
      <w:spacing w:after="0" w:lineRule="auto"/>
      <w:rPr/>
    </w:pPr>
    <w:r w:rsidDel="00000000" w:rsidR="00000000" w:rsidRPr="00000000">
      <w:rPr>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lang w:val="en-US"/>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sz w:val="28"/>
      <w:szCs w:val="28"/>
      <w:lang w:val="en-US"/>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sz w:val="26"/>
      <w:szCs w:val="26"/>
      <w:lang w:val="en-US"/>
    </w:rPr>
  </w:style>
  <w:style w:type="character" w:styleId="Heading4Char" w:customStyle="1">
    <w:name w:val="Heading 4 Char"/>
    <w:basedOn w:val="DefaultParagraphFont"/>
    <w:link w:val="Heading4"/>
    <w:uiPriority w:val="9"/>
    <w:semiHidden w:val="1"/>
    <w:rPr>
      <w:b w:val="1"/>
      <w:bCs w:val="1"/>
      <w:sz w:val="28"/>
      <w:szCs w:val="28"/>
      <w:lang w:val="en-US"/>
    </w:rPr>
  </w:style>
  <w:style w:type="character" w:styleId="Heading5Char" w:customStyle="1">
    <w:name w:val="Heading 5 Char"/>
    <w:basedOn w:val="DefaultParagraphFont"/>
    <w:link w:val="Heading5"/>
    <w:uiPriority w:val="9"/>
    <w:semiHidden w:val="1"/>
    <w:rPr>
      <w:b w:val="1"/>
      <w:bCs w:val="1"/>
      <w:i w:val="1"/>
      <w:iCs w:val="1"/>
      <w:sz w:val="26"/>
      <w:szCs w:val="26"/>
      <w:lang w:val="en-US"/>
    </w:rPr>
  </w:style>
  <w:style w:type="character" w:styleId="Heading6Char" w:customStyle="1">
    <w:name w:val="Heading 6 Char"/>
    <w:basedOn w:val="DefaultParagraphFont"/>
    <w:link w:val="Heading6"/>
    <w:uiPriority w:val="9"/>
    <w:semiHidden w:val="1"/>
    <w:rPr>
      <w:b w:val="1"/>
      <w:bCs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eastAsia="Times New Roman" w:hAnsi="Arial Bold"/>
      <w:b w:val="1"/>
      <w:caps w:val="1"/>
    </w:rPr>
  </w:style>
  <w:style w:type="character" w:styleId="GPSSchTitleandNumberChar" w:customStyle="1">
    <w:name w:val="GPS Sch Title and Number Char"/>
    <w:rPr>
      <w:rFonts w:ascii="Arial Bold" w:cs="Times New Roman" w:eastAsia="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eastAsia="Times New Roman"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NormalWeb">
    <w:name w:val="Normal (Web)"/>
    <w:basedOn w:val="Normal"/>
    <w:uiPriority w:val="99"/>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style>
  <w:style w:type="paragraph" w:styleId="ListParagraph">
    <w:name w:val="List Paragraph"/>
    <w:basedOn w:val="Normal"/>
    <w:uiPriority w:val="34"/>
    <w:qFormat w:val="1"/>
    <w:pPr>
      <w:suppressAutoHyphens w:val="1"/>
      <w:ind w:left="720"/>
    </w:pPr>
    <w:rPr>
      <w:rFonts w:cs="Times New Roman"/>
    </w:rPr>
  </w:style>
  <w:style w:type="paragraph" w:styleId="GPsDefinition" w:customStyle="1">
    <w:name w:val="GPs Definition"/>
    <w:basedOn w:val="Normal"/>
    <w:qFormat w:val="1"/>
    <w:pPr>
      <w:tabs>
        <w:tab w:val="left" w:pos="-179"/>
      </w:tabs>
      <w:spacing w:after="120" w:line="240" w:lineRule="auto"/>
      <w:jc w:val="both"/>
    </w:pPr>
    <w:rPr>
      <w:rFonts w:ascii="Arial" w:cs="Arial" w:hAnsi="Arial"/>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Times New Roman"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sz w:val="24"/>
      <w:szCs w:val="24"/>
      <w:lang w:val="en-US"/>
    </w:rPr>
  </w:style>
  <w:style w:type="paragraph" w:styleId="TOC1">
    <w:name w:val="toc 1"/>
    <w:basedOn w:val="Normal"/>
    <w:next w:val="Normal"/>
    <w:autoRedefine w:val="1"/>
    <w:uiPriority w:val="39"/>
    <w:pPr>
      <w:spacing w:after="100"/>
    </w:pPr>
  </w:style>
  <w:style w:type="paragraph" w:styleId="TOC4">
    <w:name w:val="toc 4"/>
    <w:basedOn w:val="Normal"/>
    <w:next w:val="Normal"/>
    <w:autoRedefine w:val="1"/>
    <w:uiPriority w:val="39"/>
    <w:pPr>
      <w:spacing w:after="100"/>
      <w:ind w:left="660"/>
    </w:p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autoSpaceDE w:val="0"/>
      <w:autoSpaceDN w:val="0"/>
      <w:adjustRightInd w:val="0"/>
      <w:spacing w:after="100" w:afterAutospacing="1" w:before="100" w:beforeAutospacing="1" w:line="240" w:lineRule="auto"/>
    </w:pPr>
    <w:rPr>
      <w:rFonts w:ascii="Arial" w:cs="Calibri" w:hAnsi="Arial"/>
      <w:sz w:val="24"/>
      <w:szCs w:val="24"/>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semiHidden w:val="1"/>
    <w:rPr>
      <w:rFonts w:ascii="Calibri" w:cs="Calibri" w:hAnsi="Calibri"/>
      <w:lang w:val="en-US"/>
    </w:rPr>
  </w:style>
  <w:style w:type="character" w:styleId="DeltaViewInsertion" w:customStyle="1">
    <w:name w:val="DeltaView Insertion"/>
    <w:uiPriority w:val="99"/>
    <w:rPr>
      <w:color w:val="0000ff"/>
    </w:rPr>
  </w:style>
  <w:style w:type="character" w:styleId="DeltaViewDeletion" w:customStyle="1">
    <w:name w:val="DeltaView Deletion"/>
    <w:uiPriority w:val="99"/>
    <w:rPr>
      <w:strike w:val="1"/>
      <w:color w:val="ff0000"/>
    </w:rPr>
  </w:style>
  <w:style w:type="character" w:styleId="DeltaViewMoveSource" w:customStyle="1">
    <w:name w:val="DeltaView Move Source"/>
    <w:uiPriority w:val="99"/>
    <w:rPr>
      <w:strike w:val="1"/>
      <w:color w:val="00c000"/>
    </w:rPr>
  </w:style>
  <w:style w:type="character" w:styleId="DeltaViewMoveDestination" w:customStyle="1">
    <w:name w:val="DeltaView Move Destination"/>
    <w:uiPriority w:val="99"/>
    <w:rPr>
      <w:color w:val="00c000"/>
      <w:u w:val="double"/>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semiHidden w:val="1"/>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DS2rpjTR7jUlb8TBq4owuvrRVA==">CgMxLjAyCWguMWZvYjl0ZTIIaC5namRneHMyCWguMmV0OTJwMDIIaC50eWpjd3QyCWguM2R5NnZrbTIJaC4xdDNoNXNmMgloLjRkMzRvZzgyCWguMnM4ZXlvMTIJaC4xN2RwOHZ1MgloLjNyZGNyam4yCWguMjZpbjFyZzIIaC5sbnhiejkyCWguNDRzaW5pbzIJaC4zajJxcW0zMgloLjJ4Y3l0cGkyCWguM3dod21sNDIJaC4yYm42d3N4MghoLnFzaDcwcTIJaC4zYXM0cG9qMgppZC4xcHhlendjMgppZC40OXgyaWs1OAByITFKb3R6YUdLdXVwaHRoR3EtUGtKWjMwN0g0T0R3SDhu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2022-09-21T14:54:00Z</dcterms:created>
  <dc:creator>Rachael James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